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9387F7">
      <w:pPr>
        <w:adjustRightInd w:val="0"/>
        <w:snapToGrid w:val="0"/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长春市绿园区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南湖实验中学</w:t>
      </w:r>
    </w:p>
    <w:p w14:paraId="69104A98">
      <w:pPr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合作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办学实施方案</w:t>
      </w:r>
      <w:bookmarkEnd w:id="0"/>
    </w:p>
    <w:p w14:paraId="1AFD658D">
      <w:pPr>
        <w:adjustRightInd w:val="0"/>
        <w:snapToGrid w:val="0"/>
        <w:spacing w:line="576" w:lineRule="exact"/>
        <w:jc w:val="center"/>
        <w:rPr>
          <w:rFonts w:hint="default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eastAsia="zh-CN"/>
        </w:rPr>
        <w:t>（</w:t>
      </w:r>
      <w:bookmarkStart w:id="1" w:name="OLE_LINK6"/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征求意见稿</w:t>
      </w:r>
      <w:bookmarkEnd w:id="1"/>
      <w:r>
        <w:rPr>
          <w:rFonts w:hint="eastAsia" w:ascii="楷体" w:hAnsi="楷体" w:eastAsia="楷体" w:cs="楷体"/>
          <w:b w:val="0"/>
          <w:bCs w:val="0"/>
          <w:sz w:val="44"/>
          <w:szCs w:val="44"/>
          <w:lang w:eastAsia="zh-CN"/>
        </w:rPr>
        <w:t>）</w:t>
      </w:r>
    </w:p>
    <w:p w14:paraId="1DB2CDF1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F5E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加快推进义务教育优质均衡发展，全面提升区域教育办学质量，满足百姓对优质教育资源需求。我区拟与长春南湖实验中学开展合作办学，引进优质教育资源与品牌、先进管理理念与模式，打造一所现代化、高品质、有特色的公办九年一贯制学校。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A8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合作目标</w:t>
      </w:r>
    </w:p>
    <w:p w14:paraId="2D685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与绿园区人民政府本着“优势互补、资源共享、权责清晰”的原则，开启基础教育领域全面合作，旨在提升绿园区基础教育综合竞争力，合作共建长春市绿园区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西湖崇德学校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DE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二、合作模式</w:t>
      </w:r>
    </w:p>
    <w:p w14:paraId="0519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绿园区人民政府与长春南湖实验中学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合作办学，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绿园区教育局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负责确定办学目标、提供办学条件与资金保障、行使管理职能；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派出管理团队负责学校教育教学和内部管理，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接受绿园区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领导、指导和监管。</w:t>
      </w:r>
    </w:p>
    <w:p w14:paraId="2B94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、实施步骤</w:t>
      </w:r>
    </w:p>
    <w:p w14:paraId="1946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（一）筹备阶段</w:t>
      </w:r>
    </w:p>
    <w:p w14:paraId="7AF18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学校建设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西湖崇德学校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长春市绿园区西十一街以南、西四街以西、规划商业用地以东、西十六路以北区域，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Cs/>
          <w:sz w:val="32"/>
          <w:szCs w:val="32"/>
        </w:rPr>
        <w:t>占地约4.7万平方米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建筑面积约4.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万平方米，规划为54个教学班</w:t>
      </w:r>
      <w:bookmarkStart w:id="2" w:name="OLE_LINK2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bookmarkEnd w:id="2"/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按照国家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省市要求，完成土地、校舍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设备等固定资产配置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基础设施建设</w:t>
      </w:r>
      <w:r>
        <w:rPr>
          <w:rFonts w:hint="eastAsia" w:ascii="仿宋_GB2312" w:hAnsi="仿宋_GB2312" w:eastAsia="仿宋_GB2312" w:cs="仿宋_GB2312"/>
          <w:bCs/>
          <w:sz w:val="52"/>
          <w:szCs w:val="52"/>
        </w:rPr>
        <w:t>。</w:t>
      </w:r>
    </w:p>
    <w:p w14:paraId="4084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师资队伍</w:t>
      </w:r>
      <w:bookmarkStart w:id="3" w:name="OLE_LINK5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方面</w:t>
      </w:r>
      <w:bookmarkEnd w:id="3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区教育局根据办学规模和实际教学工作需要，为西湖崇德学校配备教师；同时长春南湖实验中学根据资金情况，选派一定数量学科骨干教师参与教育教学工作。</w:t>
      </w:r>
    </w:p>
    <w:p w14:paraId="6D91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管理团队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3人管理团队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担任校长、副校长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和中层干部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绿园区教育局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向学校派出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</w:t>
      </w:r>
      <w:r>
        <w:rPr>
          <w:rFonts w:hint="eastAsia" w:ascii="仿宋_GB2312" w:hAnsi="仿宋_GB2312" w:eastAsia="仿宋_GB2312" w:cs="仿宋_GB2312"/>
          <w:sz w:val="32"/>
          <w:szCs w:val="32"/>
        </w:rPr>
        <w:t>出的管理团队共同组成学校领导班子。</w:t>
      </w:r>
    </w:p>
    <w:p w14:paraId="21FB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（二）运营阶段</w:t>
      </w:r>
    </w:p>
    <w:p w14:paraId="5B0BE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教育教学管理：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管理团队全面负责学校教育教学工作，制定教学计划、课程安排、教学评估等方案，确保教学质量。依托自身优势资源，通过学习交流、业务培训、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观摩学习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等方式提升学校师资水平。</w:t>
      </w:r>
    </w:p>
    <w:p w14:paraId="3358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经费保障与使用：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依据办学需求，按规定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生均公用经费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校舍维修改造、设备更新维护等费用，列入年度财政预算并及时足额拨付。</w:t>
      </w:r>
    </w:p>
    <w:p w14:paraId="21B6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招生与学籍管理：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照绿园区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划定学区范围，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“两个一致”招生政策组织学区派位、招生和学籍管理工作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入学公平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3F26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监督与评估：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依据义务教育学校督导评估指标体系和标准，委托第三方机构每三年对学校办学水平进行评估。根据评估结果，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有权建议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调整管理团队或改进教育教学方法。</w:t>
      </w:r>
    </w:p>
    <w:p w14:paraId="0F49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（三）合作期满后续处理</w:t>
      </w:r>
    </w:p>
    <w:p w14:paraId="10DD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合作期满前6个月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绿园区人民政府与长春南湖实验中学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协商确定是否继续合作事宜，如果继续合作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另行续签协议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；若不再合作，启动终止合作程序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牵头处理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善后工作，确保学校平稳过渡。</w:t>
      </w:r>
    </w:p>
    <w:p w14:paraId="04F4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、保障措施</w:t>
      </w:r>
    </w:p>
    <w:p w14:paraId="7B10F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（一）组织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领导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保障</w:t>
      </w:r>
    </w:p>
    <w:p w14:paraId="671F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成立由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绿园区人民政府与长春南湖实验中学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相关领导组成的合作办学领导小组，定期召开会议，协调解决合作过程中出现的问题，确保合作顺利推进。</w:t>
      </w:r>
    </w:p>
    <w:p w14:paraId="66B9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（二）资金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经费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保障</w:t>
      </w:r>
    </w:p>
    <w:p w14:paraId="6AA2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建立稳定的经费投入机制，确保学校建设、运营及教师待遇等资金及时足额到位。加强资金监管，确保专款专用，提高资金使用效益。</w:t>
      </w:r>
    </w:p>
    <w:p w14:paraId="1A58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（三）监督考核保障</w:t>
      </w:r>
    </w:p>
    <w:p w14:paraId="5236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建立健全监督考核机制，加强对学校教育教学质量、管理团队工作绩效、资金使用等方面的监督检查。对工作成效显著的团队和个人给予表彰奖励，对存在问题及时督促整改。</w:t>
      </w:r>
    </w:p>
    <w:sectPr>
      <w:footerReference r:id="rId3" w:type="default"/>
      <w:pgSz w:w="11906" w:h="16838"/>
      <w:pgMar w:top="2098" w:right="1474" w:bottom="1985" w:left="1588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05864">
    <w:pPr>
      <w:pStyle w:val="4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668"/>
                          </w:sdtPr>
                          <w:sdtEndPr>
                            <w:rPr>
                              <w:sz w:val="32"/>
                            </w:rPr>
                          </w:sdtEndPr>
                          <w:sdtContent>
                            <w:p w14:paraId="0D4985A0">
                              <w:pPr>
                                <w:pStyle w:val="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0A65169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668"/>
                    </w:sdtPr>
                    <w:sdtEndPr>
                      <w:rPr>
                        <w:sz w:val="32"/>
                      </w:rPr>
                    </w:sdtEndPr>
                    <w:sdtContent>
                      <w:p w14:paraId="0D4985A0">
                        <w:pPr>
                          <w:pStyle w:val="4"/>
                          <w:rPr>
                            <w:sz w:val="32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0A65169">
                    <w:pPr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7229AB">
    <w:pPr>
      <w:pStyle w:val="4"/>
      <w:tabs>
        <w:tab w:val="center" w:pos="4422"/>
        <w:tab w:val="clear" w:pos="4153"/>
        <w:tab w:val="clear" w:pos="8306"/>
      </w:tabs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MmZiZmEzZDMzOThlNGYxNTAzYjQyMjA5Mjc5OTAifQ=="/>
  </w:docVars>
  <w:rsids>
    <w:rsidRoot w:val="007E0E69"/>
    <w:rsid w:val="00003005"/>
    <w:rsid w:val="00051E52"/>
    <w:rsid w:val="00067418"/>
    <w:rsid w:val="001C4CB8"/>
    <w:rsid w:val="00242F4B"/>
    <w:rsid w:val="00457289"/>
    <w:rsid w:val="00523A5B"/>
    <w:rsid w:val="00564753"/>
    <w:rsid w:val="007E0E69"/>
    <w:rsid w:val="00825704"/>
    <w:rsid w:val="008E7E44"/>
    <w:rsid w:val="009F6EA3"/>
    <w:rsid w:val="00BA7494"/>
    <w:rsid w:val="00C2474E"/>
    <w:rsid w:val="00CC77F8"/>
    <w:rsid w:val="00D13F05"/>
    <w:rsid w:val="00D315A3"/>
    <w:rsid w:val="00EA1077"/>
    <w:rsid w:val="00FF28C1"/>
    <w:rsid w:val="028240BE"/>
    <w:rsid w:val="02D06128"/>
    <w:rsid w:val="033D404B"/>
    <w:rsid w:val="052C589C"/>
    <w:rsid w:val="06B565E1"/>
    <w:rsid w:val="0CE23E00"/>
    <w:rsid w:val="0F0B0C4F"/>
    <w:rsid w:val="0F2C51BE"/>
    <w:rsid w:val="0F6B3B6A"/>
    <w:rsid w:val="110E283B"/>
    <w:rsid w:val="17AF6948"/>
    <w:rsid w:val="1EBF050A"/>
    <w:rsid w:val="1FD93680"/>
    <w:rsid w:val="29A87831"/>
    <w:rsid w:val="2AD505A0"/>
    <w:rsid w:val="2F56651D"/>
    <w:rsid w:val="307B44AD"/>
    <w:rsid w:val="30A752A2"/>
    <w:rsid w:val="312736DB"/>
    <w:rsid w:val="346118ED"/>
    <w:rsid w:val="397210F6"/>
    <w:rsid w:val="40BC4C6F"/>
    <w:rsid w:val="45A526E4"/>
    <w:rsid w:val="4BCD427D"/>
    <w:rsid w:val="50364A07"/>
    <w:rsid w:val="50A41A1B"/>
    <w:rsid w:val="53283BC9"/>
    <w:rsid w:val="53DA0B8E"/>
    <w:rsid w:val="549860DE"/>
    <w:rsid w:val="57C739B1"/>
    <w:rsid w:val="58EB5C75"/>
    <w:rsid w:val="5A9C56BD"/>
    <w:rsid w:val="60363DB4"/>
    <w:rsid w:val="60883EF9"/>
    <w:rsid w:val="6A8C14F8"/>
    <w:rsid w:val="747F1164"/>
    <w:rsid w:val="772067E2"/>
    <w:rsid w:val="77B37463"/>
    <w:rsid w:val="793C0EFA"/>
    <w:rsid w:val="79517126"/>
    <w:rsid w:val="7A653177"/>
    <w:rsid w:val="7C8561DF"/>
    <w:rsid w:val="7CD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FangSong_GB2312" w:hAnsi="FangSong_GB2312" w:eastAsia="FangSong_GB2312" w:cs="FangSong_GB2312"/>
      <w:sz w:val="31"/>
      <w:szCs w:val="31"/>
      <w:lang w:eastAsia="en-US"/>
    </w:rPr>
  </w:style>
  <w:style w:type="paragraph" w:styleId="3">
    <w:name w:val="Balloon Text"/>
    <w:basedOn w:val="1"/>
    <w:link w:val="11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4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4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</w:rPr>
  </w:style>
  <w:style w:type="character" w:customStyle="1" w:styleId="10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批注框文本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1578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公告</Template>
  <Pages>3</Pages>
  <Words>1309</Words>
  <Characters>1314</Characters>
  <Lines>21</Lines>
  <Paragraphs>6</Paragraphs>
  <TotalTime>93</TotalTime>
  <ScaleCrop>false</ScaleCrop>
  <LinksUpToDate>false</LinksUpToDate>
  <CharactersWithSpaces>1316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2025-03-05T00:53:00Z</dcterms:created>
  <dc:creator>Lenovo</dc:creator>
  <cp:lastModifiedBy>姜国刚</cp:lastModifiedBy>
  <cp:lastPrinted>2025-11-18T03:25:55Z</cp:lastPrinted>
  <dcterms:modified xsi:type="dcterms:W3CDTF">2025-11-18T06:37:45Z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BD701F6302D44CFE8BC59B5E1A16C963_13</vt:lpwstr>
  </property>
  <property fmtid="{D5CDD505-2E9C-101B-9397-08002B2CF9AE}" pid="4" name="KSOTemplateDocerSaveRecord">
    <vt:lpwstr>eyJoZGlkIjoiYTdjMmZiZmEzZDMzOThlNGYxNTAzYjQyMjA5Mjc5OTAiLCJ1c2VySWQiOiI0MDU1OTY5NTEifQ==</vt:lpwstr>
  </property>
</Properties>
</file>