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5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0" w:firstLineChars="0"/>
        <w:jc w:val="center"/>
        <w:textAlignment w:val="auto"/>
        <w:rPr>
          <w:rFonts w:ascii="Times New Roman" w:hAnsi="Times New Roman" w:eastAsia="方正公文小标宋" w:cs="Times New Roman"/>
          <w:color w:val="000000"/>
          <w:kern w:val="0"/>
          <w:sz w:val="52"/>
          <w:szCs w:val="52"/>
          <w:lang w:bidi="ar"/>
        </w:rPr>
      </w:pPr>
    </w:p>
    <w:p w14:paraId="7408B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0" w:firstLineChars="0"/>
        <w:jc w:val="center"/>
        <w:textAlignment w:val="auto"/>
        <w:rPr>
          <w:rFonts w:ascii="Times New Roman" w:hAnsi="Times New Roman" w:eastAsia="方正公文小标宋" w:cs="Times New Roman"/>
          <w:color w:val="000000"/>
          <w:kern w:val="0"/>
          <w:sz w:val="52"/>
          <w:szCs w:val="52"/>
          <w:lang w:bidi="ar"/>
        </w:rPr>
      </w:pPr>
    </w:p>
    <w:p w14:paraId="0CBD7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0" w:firstLineChars="0"/>
        <w:jc w:val="center"/>
        <w:textAlignment w:val="auto"/>
        <w:rPr>
          <w:rFonts w:ascii="Times New Roman" w:hAnsi="Times New Roman" w:eastAsia="方正公文小标宋" w:cs="Times New Roman"/>
          <w:color w:val="000000"/>
          <w:kern w:val="0"/>
          <w:sz w:val="52"/>
          <w:szCs w:val="52"/>
          <w:lang w:bidi="ar"/>
        </w:rPr>
      </w:pPr>
    </w:p>
    <w:p w14:paraId="5B6D0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0" w:firstLineChars="0"/>
        <w:jc w:val="center"/>
        <w:textAlignment w:val="auto"/>
        <w:rPr>
          <w:rFonts w:ascii="Times New Roman" w:hAnsi="Times New Roman" w:eastAsia="方正公文小标宋" w:cs="Times New Roman"/>
          <w:color w:val="000000"/>
          <w:kern w:val="0"/>
          <w:sz w:val="52"/>
          <w:szCs w:val="52"/>
          <w:lang w:bidi="ar"/>
        </w:rPr>
      </w:pPr>
    </w:p>
    <w:p w14:paraId="0052B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0" w:firstLineChars="0"/>
        <w:jc w:val="center"/>
        <w:textAlignment w:val="auto"/>
        <w:rPr>
          <w:rFonts w:ascii="Times New Roman" w:hAnsi="Times New Roman" w:eastAsia="方正公文小标宋" w:cs="Times New Roman"/>
          <w:color w:val="000000"/>
          <w:kern w:val="0"/>
          <w:sz w:val="52"/>
          <w:szCs w:val="52"/>
          <w:lang w:bidi="ar"/>
        </w:rPr>
      </w:pPr>
    </w:p>
    <w:p w14:paraId="7F74A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0" w:firstLineChars="0"/>
        <w:jc w:val="center"/>
        <w:textAlignment w:val="auto"/>
        <w:rPr>
          <w:rFonts w:ascii="Times New Roman" w:hAnsi="Times New Roman" w:eastAsia="方正公文小标宋" w:cs="Times New Roman"/>
          <w:color w:val="000000"/>
          <w:kern w:val="0"/>
          <w:sz w:val="52"/>
          <w:szCs w:val="52"/>
          <w:lang w:bidi="ar"/>
        </w:rPr>
      </w:pPr>
    </w:p>
    <w:p w14:paraId="39DD8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0" w:firstLineChars="0"/>
        <w:jc w:val="center"/>
        <w:textAlignment w:val="auto"/>
        <w:rPr>
          <w:rFonts w:ascii="Times New Roman" w:hAnsi="Times New Roman" w:eastAsia="方正公文小标宋" w:cs="Times New Roman"/>
          <w:color w:val="000000"/>
          <w:kern w:val="0"/>
          <w:sz w:val="52"/>
          <w:szCs w:val="52"/>
          <w:lang w:bidi="ar"/>
        </w:rPr>
      </w:pPr>
      <w:r>
        <w:rPr>
          <w:rFonts w:ascii="Times New Roman" w:hAnsi="Times New Roman" w:eastAsia="方正公文小标宋" w:cs="Times New Roman"/>
          <w:color w:val="000000"/>
          <w:kern w:val="0"/>
          <w:sz w:val="52"/>
          <w:szCs w:val="52"/>
          <w:lang w:bidi="ar"/>
        </w:rPr>
        <w:t>长春市绿园区国民经济和社会发展</w:t>
      </w:r>
    </w:p>
    <w:p w14:paraId="01956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0" w:firstLineChars="0"/>
        <w:jc w:val="center"/>
        <w:textAlignment w:val="auto"/>
        <w:rPr>
          <w:rFonts w:ascii="Times New Roman" w:hAnsi="Times New Roman" w:eastAsia="方正公文小标宋" w:cs="Times New Roman"/>
          <w:color w:val="000000"/>
          <w:kern w:val="0"/>
          <w:sz w:val="52"/>
          <w:szCs w:val="52"/>
          <w:lang w:bidi="ar"/>
        </w:rPr>
      </w:pPr>
      <w:r>
        <w:rPr>
          <w:rFonts w:ascii="Times New Roman" w:hAnsi="Times New Roman" w:eastAsia="方正公文小标宋" w:cs="Times New Roman"/>
          <w:color w:val="000000"/>
          <w:kern w:val="0"/>
          <w:sz w:val="52"/>
          <w:szCs w:val="52"/>
          <w:lang w:bidi="ar"/>
        </w:rPr>
        <w:t>第十五个五年规划纲要</w:t>
      </w:r>
      <w:r>
        <w:rPr>
          <w:rFonts w:hint="eastAsia" w:ascii="Times New Roman" w:hAnsi="Times New Roman" w:eastAsia="方正公文小标宋" w:cs="Times New Roman"/>
          <w:color w:val="000000"/>
          <w:kern w:val="0"/>
          <w:sz w:val="52"/>
          <w:szCs w:val="52"/>
          <w:lang w:bidi="ar"/>
        </w:rPr>
        <w:t>框架</w:t>
      </w:r>
    </w:p>
    <w:p w14:paraId="5CF0E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0" w:firstLineChars="0"/>
        <w:jc w:val="center"/>
        <w:textAlignment w:val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eastAsia="方正公文小标宋" w:cs="Times New Roman"/>
          <w:color w:val="000000"/>
          <w:kern w:val="0"/>
          <w:sz w:val="52"/>
          <w:szCs w:val="52"/>
          <w:lang w:bidi="ar"/>
        </w:rPr>
        <w:t>（</w:t>
      </w:r>
      <w:r>
        <w:rPr>
          <w:rFonts w:hint="eastAsia" w:ascii="Times New Roman" w:hAnsi="Times New Roman" w:eastAsia="方正公文小标宋" w:cs="Times New Roman"/>
          <w:color w:val="000000"/>
          <w:kern w:val="0"/>
          <w:sz w:val="52"/>
          <w:szCs w:val="52"/>
          <w:lang w:bidi="ar"/>
        </w:rPr>
        <w:t>征求意见稿</w:t>
      </w:r>
      <w:r>
        <w:rPr>
          <w:rFonts w:ascii="Times New Roman" w:hAnsi="Times New Roman" w:eastAsia="方正公文小标宋" w:cs="Times New Roman"/>
          <w:color w:val="000000"/>
          <w:kern w:val="0"/>
          <w:sz w:val="52"/>
          <w:szCs w:val="52"/>
          <w:lang w:bidi="ar"/>
        </w:rPr>
        <w:t>）</w:t>
      </w:r>
    </w:p>
    <w:p w14:paraId="1FFE3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880"/>
        <w:textAlignment w:val="auto"/>
        <w:rPr>
          <w:rFonts w:ascii="Times New Roman" w:hAnsi="Times New Roman" w:cs="Times New Roman"/>
          <w:sz w:val="44"/>
          <w:szCs w:val="44"/>
          <w:lang w:bidi="ar"/>
        </w:rPr>
      </w:pPr>
    </w:p>
    <w:p w14:paraId="75F8B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880"/>
        <w:textAlignment w:val="auto"/>
        <w:rPr>
          <w:rFonts w:ascii="Times New Roman" w:hAnsi="Times New Roman" w:cs="Times New Roman"/>
          <w:sz w:val="44"/>
          <w:szCs w:val="44"/>
          <w:lang w:bidi="ar"/>
        </w:rPr>
      </w:pPr>
    </w:p>
    <w:p w14:paraId="6275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880"/>
        <w:textAlignment w:val="auto"/>
        <w:rPr>
          <w:rFonts w:ascii="Times New Roman" w:hAnsi="Times New Roman" w:cs="Times New Roman"/>
          <w:sz w:val="44"/>
          <w:szCs w:val="44"/>
          <w:lang w:bidi="ar"/>
        </w:rPr>
      </w:pPr>
    </w:p>
    <w:p w14:paraId="5CDD1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880"/>
        <w:textAlignment w:val="auto"/>
        <w:rPr>
          <w:rFonts w:ascii="Times New Roman" w:hAnsi="Times New Roman" w:cs="Times New Roman"/>
          <w:sz w:val="44"/>
          <w:szCs w:val="44"/>
          <w:lang w:bidi="ar"/>
        </w:rPr>
      </w:pPr>
    </w:p>
    <w:p w14:paraId="27D6A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0" w:firstLineChars="0"/>
        <w:textAlignment w:val="auto"/>
        <w:rPr>
          <w:rFonts w:ascii="Times New Roman" w:hAnsi="Times New Roman" w:cs="Times New Roman"/>
          <w:sz w:val="44"/>
          <w:szCs w:val="44"/>
          <w:lang w:bidi="ar"/>
        </w:rPr>
      </w:pPr>
    </w:p>
    <w:p w14:paraId="70A57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880"/>
        <w:textAlignment w:val="auto"/>
        <w:rPr>
          <w:rFonts w:ascii="Times New Roman" w:hAnsi="Times New Roman" w:cs="Times New Roman"/>
          <w:sz w:val="44"/>
          <w:szCs w:val="44"/>
          <w:lang w:bidi="ar"/>
        </w:rPr>
      </w:pPr>
    </w:p>
    <w:p w14:paraId="1782B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880"/>
        <w:textAlignment w:val="auto"/>
        <w:rPr>
          <w:rFonts w:ascii="Times New Roman" w:hAnsi="Times New Roman" w:cs="Times New Roman"/>
          <w:sz w:val="44"/>
          <w:szCs w:val="44"/>
          <w:lang w:bidi="ar"/>
        </w:rPr>
      </w:pPr>
    </w:p>
    <w:p w14:paraId="0DF4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60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bidi="ar"/>
        </w:rPr>
      </w:pPr>
    </w:p>
    <w:p w14:paraId="7719C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880"/>
        <w:textAlignment w:val="auto"/>
        <w:rPr>
          <w:rFonts w:ascii="Times New Roman" w:hAnsi="Times New Roman" w:cs="Times New Roman"/>
          <w:sz w:val="44"/>
          <w:szCs w:val="44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2058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0"/>
        <w:textAlignment w:val="auto"/>
      </w:pPr>
      <w:bookmarkStart w:id="0" w:name="_Toc205400015"/>
      <w:bookmarkStart w:id="1" w:name="_Toc2184"/>
      <w:r>
        <w:t>本纲要主要</w:t>
      </w:r>
      <w:r>
        <w:rPr>
          <w:rFonts w:hint="eastAsia"/>
        </w:rPr>
        <w:t>针对</w:t>
      </w:r>
      <w:r>
        <w:t>绿园区</w:t>
      </w:r>
      <w:r>
        <w:rPr>
          <w:rFonts w:hint="eastAsia"/>
          <w:lang w:eastAsia="zh-CN"/>
        </w:rPr>
        <w:t>“</w:t>
      </w:r>
      <w:r>
        <w:t>十五五</w:t>
      </w:r>
      <w:r>
        <w:rPr>
          <w:rFonts w:hint="eastAsia"/>
          <w:lang w:eastAsia="zh-CN"/>
        </w:rPr>
        <w:t>”</w:t>
      </w:r>
      <w:r>
        <w:t>时期经济社会发展的思路目标、主要任务和重大举措明确政府工作重点，引导规范市场主体行为，是开启全面建设现代化绿园新征程的</w:t>
      </w:r>
      <w:r>
        <w:rPr>
          <w:rFonts w:hint="eastAsia"/>
        </w:rPr>
        <w:t>基本遵循</w:t>
      </w:r>
      <w:r>
        <w:t>，是全区人民共同奋斗</w:t>
      </w:r>
      <w:r>
        <w:rPr>
          <w:rFonts w:hint="eastAsia"/>
        </w:rPr>
        <w:t>的</w:t>
      </w:r>
      <w:r>
        <w:t>行动路线，是履行经济调节、市场监管、社会治理、公共服务和环境保护职责的重要依据。</w:t>
      </w:r>
    </w:p>
    <w:p w14:paraId="19E62E7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716" w:leftChars="197" w:hanging="125" w:hangingChars="39"/>
        <w:jc w:val="left"/>
        <w:textAlignment w:val="auto"/>
        <w:rPr>
          <w:rFonts w:hint="eastAsia" w:ascii="黑体" w:hAnsi="黑体" w:cs="黑体"/>
          <w:sz w:val="32"/>
        </w:rPr>
      </w:pPr>
      <w:r>
        <w:rPr>
          <w:rFonts w:hint="default" w:ascii="黑体" w:hAnsi="黑体" w:eastAsia="黑体" w:cs="黑体"/>
          <w:b/>
          <w:kern w:val="44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cs="黑体"/>
          <w:sz w:val="32"/>
        </w:rPr>
        <w:t>发展形势</w:t>
      </w:r>
    </w:p>
    <w:p w14:paraId="2E924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0"/>
        <w:textAlignment w:val="auto"/>
        <w:rPr>
          <w:rFonts w:hint="eastAsia" w:eastAsia="仿宋_GB2312"/>
          <w:lang w:eastAsia="zh-CN"/>
        </w:rPr>
      </w:pPr>
      <w:r>
        <w:t>当今世界正经历百年未有之大变局，</w:t>
      </w:r>
      <w:r>
        <w:rPr>
          <w:rFonts w:hint="eastAsia"/>
        </w:rPr>
        <w:t>在面临</w:t>
      </w:r>
      <w:r>
        <w:t>新一轮科技革命和产业变革</w:t>
      </w:r>
      <w:r>
        <w:rPr>
          <w:rFonts w:hint="eastAsia"/>
        </w:rPr>
        <w:t>的历史机遇的当前</w:t>
      </w:r>
      <w:r>
        <w:t>，在</w:t>
      </w:r>
      <w:r>
        <w:rPr>
          <w:rFonts w:hint="eastAsia"/>
          <w:lang w:eastAsia="zh-CN"/>
        </w:rPr>
        <w:t>“</w:t>
      </w:r>
      <w:r>
        <w:t>十五五</w:t>
      </w:r>
      <w:r>
        <w:rPr>
          <w:rFonts w:hint="eastAsia"/>
          <w:lang w:eastAsia="zh-CN"/>
        </w:rPr>
        <w:t>”</w:t>
      </w:r>
      <w:r>
        <w:t>开局以城市内涵式发展为主线的当下，绿园区</w:t>
      </w:r>
      <w:r>
        <w:rPr>
          <w:rFonts w:hint="eastAsia"/>
        </w:rPr>
        <w:t>要抓住</w:t>
      </w:r>
      <w:r>
        <w:t>重大战略机遇</w:t>
      </w:r>
      <w:r>
        <w:rPr>
          <w:rFonts w:hint="eastAsia"/>
        </w:rPr>
        <w:t>，</w:t>
      </w:r>
      <w:r>
        <w:t>把握进一步全面深化改革的关键时期，实现改革高效能治理</w:t>
      </w:r>
      <w:r>
        <w:rPr>
          <w:rFonts w:hint="eastAsia"/>
        </w:rPr>
        <w:t>；</w:t>
      </w:r>
      <w:r>
        <w:t>把握内涵式发展深度转型的关键时期，实现城市高标准建设</w:t>
      </w:r>
      <w:r>
        <w:rPr>
          <w:rFonts w:hint="eastAsia"/>
        </w:rPr>
        <w:t>；</w:t>
      </w:r>
      <w:r>
        <w:t>把握长春现代化都市圈建设的关键时期，实现区域高水平发展</w:t>
      </w:r>
      <w:r>
        <w:rPr>
          <w:rFonts w:hint="eastAsia"/>
        </w:rPr>
        <w:t>；</w:t>
      </w:r>
      <w:r>
        <w:t>把握新质生产力全面发展的关键时期，实现产业高质量转型</w:t>
      </w:r>
      <w:r>
        <w:rPr>
          <w:rFonts w:hint="eastAsia"/>
        </w:rPr>
        <w:t>；</w:t>
      </w:r>
      <w:r>
        <w:t>把握长春航空展持续发力的关键时期，实现城区高能级跨越</w:t>
      </w:r>
      <w:r>
        <w:rPr>
          <w:rFonts w:hint="eastAsia"/>
          <w:lang w:eastAsia="zh-CN"/>
        </w:rPr>
        <w:t>。</w:t>
      </w:r>
    </w:p>
    <w:p w14:paraId="3D3E09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716" w:leftChars="197" w:hanging="125" w:hangingChars="39"/>
        <w:jc w:val="left"/>
        <w:textAlignment w:val="auto"/>
        <w:rPr>
          <w:rFonts w:hint="eastAsia" w:ascii="黑体" w:hAnsi="黑体" w:cs="黑体"/>
          <w:sz w:val="32"/>
        </w:rPr>
      </w:pPr>
      <w:r>
        <w:rPr>
          <w:rFonts w:hint="default" w:ascii="黑体" w:hAnsi="黑体" w:eastAsia="黑体" w:cs="黑体"/>
          <w:b/>
          <w:kern w:val="44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cs="黑体"/>
          <w:sz w:val="32"/>
        </w:rPr>
        <w:t>指导思想</w:t>
      </w:r>
    </w:p>
    <w:bookmarkEnd w:id="0"/>
    <w:bookmarkEnd w:id="1"/>
    <w:p w14:paraId="0FF95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0"/>
        <w:textAlignment w:val="auto"/>
      </w:pPr>
      <w:bookmarkStart w:id="2" w:name="_Hlk212649176"/>
      <w:r>
        <w:rPr>
          <w:rFonts w:hint="eastAsia"/>
        </w:rPr>
        <w:t>必须坚持马克思列宁主义、毛泽东思想、邓小平理论、“三个代表”重要思想、科学发展观，全面贯彻习近平新时代中国特色社会主义思想，深入贯彻党的二十大和二十届</w:t>
      </w:r>
      <w:r>
        <w:rPr>
          <w:rFonts w:hint="eastAsia"/>
          <w:highlight w:val="none"/>
          <w:lang w:val="en-US" w:eastAsia="zh-CN"/>
        </w:rPr>
        <w:t>历次</w:t>
      </w:r>
      <w:r>
        <w:rPr>
          <w:rFonts w:hint="eastAsia"/>
        </w:rPr>
        <w:t>全会精神，围绕全面建成社会主义现代化强国、实现第二个百年奋斗目标，以中国式现代化全面推进中华民族伟大复兴，统筹推进“五位一体”总体布局，协调推进“四个全面”战略布局，统筹国内国际两个大局，完整准确全面贯彻新发展理念，加快构建新发展格局，坚持稳中求进工作总基调，坚持以经济建设为中心，以推动高质量发展为主题，以改革创新为根本动力，以满足人民日益增长的美好生活需要为根本目的，以全面从严治党为根本保障，推动经济实现质的有效提升和量的合理增长，推动人的全面发展、全体人民共同富裕迈出坚实步伐</w:t>
      </w:r>
      <w:r>
        <w:rPr>
          <w:rFonts w:hint="eastAsia"/>
          <w:lang w:eastAsia="zh-CN"/>
        </w:rPr>
        <w:t>。</w:t>
      </w:r>
      <w:r>
        <w:rPr>
          <w:rFonts w:hint="default"/>
          <w:lang w:val="en-US" w:eastAsia="zh-CN"/>
        </w:rPr>
        <w:t>牢牢把握绿园在长春现代化都市圈中的功能定位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以建设创新驱动、生态宜居、智慧治理、文明韧性的</w:t>
      </w:r>
      <w:r>
        <w:rPr>
          <w:rFonts w:hint="eastAsia"/>
        </w:rPr>
        <w:t>社会主义</w:t>
      </w:r>
      <w:r>
        <w:t>现代化</w:t>
      </w:r>
      <w:r>
        <w:rPr>
          <w:rFonts w:hint="eastAsia"/>
        </w:rPr>
        <w:t>绿园</w:t>
      </w:r>
      <w:r>
        <w:rPr>
          <w:rFonts w:hint="default"/>
          <w:lang w:val="en-US" w:eastAsia="zh-CN"/>
        </w:rPr>
        <w:t>为核心目标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奋力建设高质量发展、高品质生活的绿园样板，</w:t>
      </w:r>
      <w:r>
        <w:t>为长春</w:t>
      </w:r>
      <w:r>
        <w:rPr>
          <w:rFonts w:hint="eastAsia"/>
        </w:rPr>
        <w:t>全面建设“一中心、五高地”</w:t>
      </w:r>
      <w:r>
        <w:t>提供</w:t>
      </w:r>
      <w:r>
        <w:rPr>
          <w:rFonts w:hint="eastAsia"/>
        </w:rPr>
        <w:t>重要</w:t>
      </w:r>
      <w:r>
        <w:t>支撑。</w:t>
      </w:r>
      <w:bookmarkStart w:id="3" w:name="_Toc205400021"/>
    </w:p>
    <w:bookmarkEnd w:id="2"/>
    <w:p w14:paraId="6B4B41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716" w:leftChars="197" w:hanging="125" w:hangingChars="39"/>
        <w:jc w:val="left"/>
        <w:textAlignment w:val="auto"/>
        <w:rPr>
          <w:rFonts w:hint="eastAsia" w:ascii="黑体" w:hAnsi="黑体" w:cs="黑体"/>
          <w:sz w:val="32"/>
        </w:rPr>
      </w:pPr>
      <w:r>
        <w:rPr>
          <w:rFonts w:hint="default" w:ascii="黑体" w:hAnsi="黑体" w:eastAsia="黑体" w:cs="黑体"/>
          <w:b/>
          <w:kern w:val="44"/>
          <w:sz w:val="32"/>
          <w:szCs w:val="32"/>
          <w:lang w:val="en-US" w:eastAsia="zh-CN" w:bidi="ar-SA"/>
        </w:rPr>
        <w:t>三、</w:t>
      </w:r>
      <w:r>
        <w:rPr>
          <w:rFonts w:ascii="黑体" w:hAnsi="黑体" w:cs="黑体"/>
          <w:sz w:val="32"/>
        </w:rPr>
        <w:t>规划原则</w:t>
      </w:r>
      <w:bookmarkEnd w:id="3"/>
    </w:p>
    <w:p w14:paraId="41213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2"/>
        <w:textAlignment w:val="auto"/>
      </w:pPr>
      <w:bookmarkStart w:id="4" w:name="_Toc205400022"/>
      <w:r>
        <w:rPr>
          <w:rFonts w:ascii="Times New Roman" w:hAnsi="Times New Roman" w:cs="Times New Roman"/>
          <w:b/>
          <w:bCs/>
          <w:szCs w:val="30"/>
          <w:lang w:bidi="ar"/>
        </w:rPr>
        <w:t>坚持党的全面领导。</w:t>
      </w:r>
      <w:r>
        <w:rPr>
          <w:rFonts w:hint="eastAsia"/>
        </w:rPr>
        <w:t>坚决维护</w:t>
      </w:r>
      <w:r>
        <w:rPr>
          <w:rFonts w:hint="eastAsia"/>
          <w:highlight w:val="none"/>
        </w:rPr>
        <w:t>党</w:t>
      </w:r>
      <w:r>
        <w:rPr>
          <w:rFonts w:hint="eastAsia"/>
          <w:highlight w:val="none"/>
          <w:lang w:val="en-US" w:eastAsia="zh-CN"/>
        </w:rPr>
        <w:t>中央</w:t>
      </w:r>
      <w:r>
        <w:rPr>
          <w:rFonts w:hint="eastAsia"/>
          <w:highlight w:val="none"/>
        </w:rPr>
        <w:t>权威和集中统一领导，提高党把方向、谋大局、定政策、促改革能</w:t>
      </w:r>
      <w:r>
        <w:rPr>
          <w:rFonts w:hint="eastAsia"/>
        </w:rPr>
        <w:t>力，把党的领导贯穿全区经济社会发展各方面全过程，为我区社会主义现代化建设提供根本保证。</w:t>
      </w:r>
    </w:p>
    <w:p w14:paraId="3329B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2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30"/>
          <w:lang w:bidi="ar"/>
        </w:rPr>
        <w:t>坚持</w:t>
      </w:r>
      <w:r>
        <w:rPr>
          <w:rFonts w:hint="eastAsia" w:ascii="Times New Roman" w:hAnsi="Times New Roman" w:cs="Times New Roman"/>
          <w:b/>
          <w:bCs/>
          <w:szCs w:val="30"/>
          <w:lang w:bidi="ar"/>
        </w:rPr>
        <w:t>人民至上</w:t>
      </w:r>
      <w:r>
        <w:rPr>
          <w:rFonts w:ascii="Times New Roman" w:hAnsi="Times New Roman" w:cs="Times New Roman"/>
          <w:b/>
          <w:bCs/>
          <w:szCs w:val="30"/>
          <w:lang w:bidi="ar"/>
        </w:rPr>
        <w:t>。</w:t>
      </w:r>
      <w:r>
        <w:rPr>
          <w:rFonts w:hint="eastAsia"/>
        </w:rPr>
        <w:t>尊重人民主体地位，</w:t>
      </w:r>
      <w:r>
        <w:t>坚持发展为了人民、发展依靠人民、发展成果由人民共享</w:t>
      </w:r>
      <w:r>
        <w:rPr>
          <w:rFonts w:hint="eastAsia"/>
        </w:rPr>
        <w:t>的核心理念</w:t>
      </w:r>
      <w:r>
        <w:t>，</w:t>
      </w:r>
      <w:r>
        <w:rPr>
          <w:rFonts w:hint="eastAsia"/>
        </w:rPr>
        <w:t>坚持在发展中保障和改善民生，解决人民</w:t>
      </w:r>
      <w:r>
        <w:t>群众急难愁盼</w:t>
      </w:r>
      <w:r>
        <w:rPr>
          <w:rFonts w:hint="eastAsia"/>
        </w:rPr>
        <w:t>问题</w:t>
      </w:r>
      <w:r>
        <w:t>，推动公共服务提质扩容，持续实施民生项目，</w:t>
      </w:r>
      <w:r>
        <w:rPr>
          <w:rFonts w:hint="eastAsia"/>
        </w:rPr>
        <w:t>让现代化建设成果更多更公平惠及全体人民</w:t>
      </w:r>
      <w:r>
        <w:t>。</w:t>
      </w:r>
    </w:p>
    <w:p w14:paraId="639C1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2"/>
        <w:textAlignment w:val="auto"/>
      </w:pPr>
      <w:r>
        <w:rPr>
          <w:rFonts w:ascii="Times New Roman" w:hAnsi="Times New Roman" w:cs="Times New Roman"/>
          <w:b/>
          <w:bCs/>
          <w:szCs w:val="30"/>
          <w:lang w:bidi="ar"/>
        </w:rPr>
        <w:t>坚持</w:t>
      </w:r>
      <w:r>
        <w:rPr>
          <w:rFonts w:hint="eastAsia" w:ascii="Times New Roman" w:hAnsi="Times New Roman" w:cs="Times New Roman"/>
          <w:b/>
          <w:bCs/>
          <w:szCs w:val="30"/>
          <w:lang w:bidi="ar"/>
        </w:rPr>
        <w:t>高质量发展</w:t>
      </w:r>
      <w:r>
        <w:rPr>
          <w:rFonts w:ascii="Times New Roman" w:hAnsi="Times New Roman" w:cs="Times New Roman"/>
          <w:b/>
          <w:bCs/>
          <w:szCs w:val="30"/>
          <w:lang w:bidi="ar"/>
        </w:rPr>
        <w:t>。</w:t>
      </w:r>
      <w:r>
        <w:rPr>
          <w:rFonts w:hint="eastAsia"/>
        </w:rPr>
        <w:t>以新发展理念引领发展，</w:t>
      </w:r>
      <w:r>
        <w:t>将创新、协调、绿色、开放、共享理念深度融入绿园发展实践，</w:t>
      </w:r>
      <w:r>
        <w:rPr>
          <w:rFonts w:hint="eastAsia"/>
        </w:rPr>
        <w:t>紧扣长春市“3转4强7新”现代化产业体系，做优增量、盘活存量，培育和发展新质生产力，</w:t>
      </w:r>
      <w:r>
        <w:t>加快传统产业</w:t>
      </w:r>
      <w:r>
        <w:rPr>
          <w:rFonts w:hint="eastAsia"/>
        </w:rPr>
        <w:t>数智</w:t>
      </w:r>
      <w:r>
        <w:t>化</w:t>
      </w:r>
      <w:r>
        <w:rPr>
          <w:rFonts w:hint="eastAsia"/>
        </w:rPr>
        <w:t>、</w:t>
      </w:r>
      <w:r>
        <w:t>绿色化改造，</w:t>
      </w:r>
      <w:r>
        <w:rPr>
          <w:rFonts w:hint="eastAsia"/>
        </w:rPr>
        <w:t>推动经济持续健康发展和社会全面进步</w:t>
      </w:r>
      <w:r>
        <w:t>。</w:t>
      </w:r>
    </w:p>
    <w:p w14:paraId="777CA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2"/>
        <w:textAlignment w:val="auto"/>
      </w:pPr>
      <w:r>
        <w:rPr>
          <w:rFonts w:ascii="Times New Roman" w:hAnsi="Times New Roman" w:cs="Times New Roman"/>
          <w:b/>
          <w:bCs/>
          <w:szCs w:val="30"/>
          <w:lang w:bidi="ar"/>
        </w:rPr>
        <w:t>坚持</w:t>
      </w:r>
      <w:r>
        <w:rPr>
          <w:rFonts w:hint="eastAsia" w:ascii="Times New Roman" w:hAnsi="Times New Roman" w:cs="Times New Roman"/>
          <w:b/>
          <w:bCs/>
          <w:szCs w:val="30"/>
          <w:lang w:bidi="ar"/>
        </w:rPr>
        <w:t>全面深化改革</w:t>
      </w:r>
      <w:r>
        <w:rPr>
          <w:rFonts w:ascii="Times New Roman" w:hAnsi="Times New Roman" w:cs="Times New Roman"/>
          <w:b/>
          <w:bCs/>
          <w:szCs w:val="30"/>
          <w:lang w:bidi="ar"/>
        </w:rPr>
        <w:t>。</w:t>
      </w:r>
      <w:r>
        <w:rPr>
          <w:rFonts w:hint="eastAsia"/>
        </w:rPr>
        <w:t>聚焦制约高质量发展的体制机制障碍，</w:t>
      </w:r>
      <w:r>
        <w:t>以优化营商环境为基础</w:t>
      </w:r>
      <w:r>
        <w:rPr>
          <w:rFonts w:hint="eastAsia"/>
        </w:rPr>
        <w:t>，</w:t>
      </w:r>
      <w:r>
        <w:t>全面深化改革，</w:t>
      </w:r>
      <w:r>
        <w:rPr>
          <w:rFonts w:hint="eastAsia"/>
        </w:rPr>
        <w:t>推进</w:t>
      </w:r>
      <w:r>
        <w:t>体制机制创新，深化“放管服”改革，扩大与天津对口合作等开放平台效应</w:t>
      </w:r>
      <w:r>
        <w:rPr>
          <w:rFonts w:hint="eastAsia"/>
        </w:rPr>
        <w:t>，持续增强发展动力和社会活力。</w:t>
      </w:r>
    </w:p>
    <w:p w14:paraId="796CD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2"/>
        <w:textAlignment w:val="auto"/>
      </w:pPr>
      <w:r>
        <w:rPr>
          <w:rFonts w:hint="eastAsia" w:ascii="Times New Roman" w:hAnsi="Times New Roman" w:cs="Times New Roman"/>
          <w:b/>
          <w:bCs/>
          <w:szCs w:val="30"/>
          <w:lang w:bidi="ar"/>
        </w:rPr>
        <w:t>坚持有效市场和有为政府相结合。</w:t>
      </w:r>
      <w:r>
        <w:rPr>
          <w:rFonts w:hint="eastAsia"/>
        </w:rPr>
        <w:t>充分发挥市场在资源配置中的决定性作用，更好发挥政府作用，推动有效市场和有为政府</w:t>
      </w:r>
      <w:bookmarkStart w:id="14" w:name="_GoBack"/>
      <w:bookmarkEnd w:id="14"/>
      <w:r>
        <w:rPr>
          <w:rFonts w:hint="eastAsia"/>
        </w:rPr>
        <w:t>更好结合，最大限度激发各类市场主体内生动力和创新活力，打造市场化、法治化、国际化营商环境，形成既“放得活”又“管得好”的经济秩序。</w:t>
      </w:r>
    </w:p>
    <w:p w14:paraId="324B2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2"/>
        <w:textAlignment w:val="auto"/>
      </w:pPr>
      <w:r>
        <w:rPr>
          <w:rFonts w:hint="eastAsia" w:ascii="Times New Roman" w:hAnsi="Times New Roman" w:cs="Times New Roman"/>
          <w:b/>
          <w:bCs/>
          <w:szCs w:val="30"/>
          <w:lang w:bidi="ar"/>
        </w:rPr>
        <w:t>坚持统筹发展和安全。</w:t>
      </w:r>
      <w:r>
        <w:rPr>
          <w:rFonts w:hint="eastAsia"/>
        </w:rPr>
        <w:t>强化底线思维，在发展中固安全，在安全中谋发展，着力提升产业链供应链韧性和安全水平，强化基础设施韧性和城市精细治理，防范化解重大风险，以新安全格局保障新发展格局。</w:t>
      </w:r>
    </w:p>
    <w:p w14:paraId="298949B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716" w:leftChars="197" w:hanging="125" w:hangingChars="39"/>
        <w:jc w:val="left"/>
        <w:textAlignment w:val="auto"/>
        <w:rPr>
          <w:rFonts w:hint="eastAsia" w:ascii="黑体" w:hAnsi="黑体" w:cs="黑体"/>
          <w:sz w:val="32"/>
        </w:rPr>
      </w:pPr>
      <w:r>
        <w:rPr>
          <w:rFonts w:hint="default" w:ascii="黑体" w:hAnsi="黑体" w:eastAsia="黑体" w:cs="黑体"/>
          <w:b/>
          <w:kern w:val="44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cs="黑体"/>
          <w:sz w:val="32"/>
        </w:rPr>
        <w:t>目标愿景</w:t>
      </w:r>
    </w:p>
    <w:bookmarkEnd w:id="4"/>
    <w:p w14:paraId="12DD1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0"/>
        <w:textAlignment w:val="auto"/>
      </w:pPr>
      <w:r>
        <w:t>把握</w:t>
      </w:r>
      <w:r>
        <w:rPr>
          <w:rFonts w:hint="eastAsia"/>
          <w:lang w:eastAsia="zh-CN"/>
        </w:rPr>
        <w:t>“</w:t>
      </w:r>
      <w:r>
        <w:t>五个关键时期</w:t>
      </w:r>
      <w:r>
        <w:rPr>
          <w:rFonts w:hint="eastAsia"/>
          <w:lang w:eastAsia="zh-CN"/>
        </w:rPr>
        <w:t>”</w:t>
      </w:r>
      <w:r>
        <w:t>，全力打造高质量发展、高品质生活的现代化新城区。到2030年，城区内聚发展态势基本形成，产业</w:t>
      </w:r>
      <w:r>
        <w:rPr>
          <w:rFonts w:hint="eastAsia"/>
        </w:rPr>
        <w:t>体系</w:t>
      </w:r>
      <w:r>
        <w:t>持续</w:t>
      </w:r>
      <w:r>
        <w:rPr>
          <w:rFonts w:hint="eastAsia"/>
        </w:rPr>
        <w:t>完善</w:t>
      </w:r>
      <w:r>
        <w:t>，科技</w:t>
      </w:r>
      <w:r>
        <w:rPr>
          <w:rFonts w:hint="eastAsia"/>
        </w:rPr>
        <w:t>成果</w:t>
      </w:r>
      <w:r>
        <w:t>创新</w:t>
      </w:r>
      <w:r>
        <w:rPr>
          <w:rFonts w:hint="eastAsia"/>
        </w:rPr>
        <w:t>引领</w:t>
      </w:r>
      <w:r>
        <w:t>，绿色转型成效显著，城区活力稳步提升，</w:t>
      </w:r>
      <w:r>
        <w:rPr>
          <w:rFonts w:hint="eastAsia"/>
        </w:rPr>
        <w:t>将绿园打造为</w:t>
      </w:r>
      <w:r>
        <w:t>动能转换卓越城区</w:t>
      </w:r>
      <w:r>
        <w:rPr>
          <w:rFonts w:hint="eastAsia"/>
        </w:rPr>
        <w:t>、</w:t>
      </w:r>
      <w:r>
        <w:t>绿色集聚宜居城</w:t>
      </w:r>
      <w:r>
        <w:rPr>
          <w:rFonts w:hint="eastAsia"/>
        </w:rPr>
        <w:t>区、</w:t>
      </w:r>
      <w:r>
        <w:t>青春包容活力城区</w:t>
      </w:r>
      <w:r>
        <w:rPr>
          <w:rFonts w:hint="eastAsia"/>
        </w:rPr>
        <w:t>、</w:t>
      </w:r>
      <w:r>
        <w:t>安全智慧花园城区</w:t>
      </w:r>
      <w:r>
        <w:rPr>
          <w:rFonts w:hint="eastAsia"/>
        </w:rPr>
        <w:t>。</w:t>
      </w:r>
    </w:p>
    <w:p w14:paraId="4ECD9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0"/>
        <w:textAlignment w:val="auto"/>
      </w:pPr>
      <w:r>
        <w:rPr>
          <w:rFonts w:hint="eastAsia"/>
        </w:rPr>
        <w:t>在此基础上再奋斗五年，到2035年，实现我区经济实力、科创能力、民生福祉、生态魅力、治理效能大幅跃升，人民生活更加幸福美好，基本实现社会主义现代化新绿园。</w:t>
      </w:r>
    </w:p>
    <w:p w14:paraId="467C351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716" w:leftChars="197" w:hanging="125" w:hangingChars="39"/>
        <w:jc w:val="left"/>
        <w:textAlignment w:val="auto"/>
        <w:rPr>
          <w:rFonts w:hint="eastAsia" w:ascii="黑体" w:hAnsi="黑体" w:cs="黑体"/>
          <w:sz w:val="32"/>
        </w:rPr>
      </w:pPr>
      <w:r>
        <w:rPr>
          <w:rFonts w:hint="default" w:ascii="黑体" w:hAnsi="黑体" w:eastAsia="黑体" w:cs="黑体"/>
          <w:b/>
          <w:kern w:val="44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cs="黑体"/>
          <w:sz w:val="32"/>
        </w:rPr>
        <w:t>发展路径</w:t>
      </w:r>
    </w:p>
    <w:p w14:paraId="260E5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2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30"/>
          <w:lang w:bidi="ar"/>
        </w:rPr>
        <w:t>创新驱动转型，激活产业协同发展新动能。</w:t>
      </w:r>
      <w:r>
        <w:t>强化科技创新</w:t>
      </w:r>
      <w:r>
        <w:rPr>
          <w:rFonts w:hint="eastAsia"/>
        </w:rPr>
        <w:t>，</w:t>
      </w:r>
      <w:r>
        <w:t>推动高端制造、汽车配套、低空经济等产业及产业园</w:t>
      </w:r>
      <w:r>
        <w:rPr>
          <w:rFonts w:hint="eastAsia"/>
        </w:rPr>
        <w:t>发展</w:t>
      </w:r>
      <w:r>
        <w:t>。强化服务业发展</w:t>
      </w:r>
      <w:r>
        <w:rPr>
          <w:rFonts w:hint="eastAsia"/>
        </w:rPr>
        <w:t>，</w:t>
      </w:r>
      <w:r>
        <w:t>加强两型国家物流枢纽智慧化水平和服务能级提升，推动</w:t>
      </w:r>
      <w:r>
        <w:rPr>
          <w:rFonts w:hint="eastAsia"/>
          <w:lang w:eastAsia="zh-CN"/>
        </w:rPr>
        <w:t>“</w:t>
      </w:r>
      <w:r>
        <w:t>通道+枢纽+网络</w:t>
      </w:r>
      <w:r>
        <w:rPr>
          <w:rFonts w:hint="eastAsia"/>
          <w:lang w:eastAsia="zh-CN"/>
        </w:rPr>
        <w:t>”</w:t>
      </w:r>
      <w:r>
        <w:t>现代物流体系构建。</w:t>
      </w:r>
    </w:p>
    <w:p w14:paraId="0FAA0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2"/>
        <w:textAlignment w:val="auto"/>
      </w:pPr>
      <w:r>
        <w:rPr>
          <w:rFonts w:ascii="Times New Roman" w:hAnsi="Times New Roman" w:cs="Times New Roman"/>
          <w:b/>
          <w:bCs/>
          <w:szCs w:val="30"/>
          <w:lang w:bidi="ar"/>
        </w:rPr>
        <w:t>融汇“三生空间”，塑造城市内聚发展新结构。</w:t>
      </w:r>
      <w:r>
        <w:rPr>
          <w:rFonts w:hint="eastAsia" w:ascii="Times New Roman" w:hAnsi="Times New Roman" w:cs="Times New Roman"/>
          <w:b w:val="0"/>
          <w:bCs w:val="0"/>
          <w:szCs w:val="30"/>
          <w:lang w:val="en-US" w:eastAsia="zh-CN" w:bidi="ar"/>
        </w:rPr>
        <w:t>打造</w:t>
      </w:r>
      <w:r>
        <w:t>城区经济环</w:t>
      </w:r>
      <w:r>
        <w:rPr>
          <w:rFonts w:hint="eastAsia"/>
        </w:rPr>
        <w:t>，促进生产、生活、生态资源要素流动，</w:t>
      </w:r>
      <w:r>
        <w:rPr>
          <w:rFonts w:hint="eastAsia"/>
          <w:lang w:val="en-US" w:eastAsia="zh-CN"/>
        </w:rPr>
        <w:t>建构</w:t>
      </w:r>
      <w:r>
        <w:rPr>
          <w:rFonts w:hint="eastAsia"/>
        </w:rPr>
        <w:t>城区产业发展核心带动区，</w:t>
      </w:r>
      <w:r>
        <w:rPr>
          <w:rFonts w:hint="eastAsia"/>
          <w:lang w:val="en-US" w:eastAsia="zh-CN"/>
        </w:rPr>
        <w:t>扩大</w:t>
      </w:r>
      <w:r>
        <w:rPr>
          <w:rFonts w:hint="eastAsia"/>
        </w:rPr>
        <w:t>主导产业发展腹地。以</w:t>
      </w:r>
      <w:r>
        <w:t>长春国际航空展览中心和</w:t>
      </w:r>
      <w:r>
        <w:rPr>
          <w:rFonts w:hint="eastAsia"/>
        </w:rPr>
        <w:t>航博城创新文旅为契机</w:t>
      </w:r>
      <w:r>
        <w:t>，发展</w:t>
      </w:r>
      <w:r>
        <w:rPr>
          <w:rFonts w:hint="eastAsia"/>
        </w:rPr>
        <w:t>服务新型</w:t>
      </w:r>
      <w:r>
        <w:t>业态，提升老城区基础设施和公共服务品质，打造一刻钟便民生活圈，推动综合性服务中心建设。</w:t>
      </w:r>
    </w:p>
    <w:p w14:paraId="34552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2"/>
        <w:textAlignment w:val="auto"/>
      </w:pPr>
      <w:r>
        <w:rPr>
          <w:rFonts w:ascii="Times New Roman" w:hAnsi="Times New Roman" w:cs="Times New Roman"/>
          <w:b/>
          <w:bCs/>
          <w:szCs w:val="30"/>
          <w:lang w:bidi="ar"/>
        </w:rPr>
        <w:t>提升人口磁力，形成青年人才集聚新形势。</w:t>
      </w:r>
      <w:r>
        <w:t>提升社区服务水平</w:t>
      </w:r>
      <w:r>
        <w:rPr>
          <w:rFonts w:hint="eastAsia"/>
        </w:rPr>
        <w:t>，</w:t>
      </w:r>
      <w:r>
        <w:t>健全分层分类社会救助机制，创新人才引育机制</w:t>
      </w:r>
      <w:r>
        <w:rPr>
          <w:rFonts w:hint="eastAsia"/>
        </w:rPr>
        <w:t>，成立产业人才培养联盟，定向培育制造等领域专业人才，</w:t>
      </w:r>
      <w:r>
        <w:rPr>
          <w:rFonts w:hint="eastAsia" w:ascii="Times New Roman" w:hAnsi="Times New Roman" w:cs="Times New Roman"/>
          <w:sz w:val="32"/>
          <w:szCs w:val="32"/>
          <w:lang w:bidi="ar"/>
        </w:rPr>
        <w:t>实施更加积极的就业优先政策</w:t>
      </w:r>
      <w:r>
        <w:rPr>
          <w:rFonts w:hint="eastAsia" w:ascii="Times New Roman" w:hAnsi="Times New Roman" w:cs="Times New Roman"/>
          <w:sz w:val="32"/>
          <w:szCs w:val="32"/>
          <w:lang w:eastAsia="zh-CN" w:bidi="ar"/>
        </w:rPr>
        <w:t>，</w:t>
      </w:r>
      <w:r>
        <w:t>加强就业保障。</w:t>
      </w:r>
    </w:p>
    <w:p w14:paraId="25DB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2"/>
        <w:textAlignment w:val="auto"/>
      </w:pPr>
      <w:r>
        <w:rPr>
          <w:rFonts w:ascii="Times New Roman" w:hAnsi="Times New Roman" w:cs="Times New Roman"/>
          <w:b/>
          <w:bCs/>
          <w:szCs w:val="30"/>
          <w:lang w:bidi="ar"/>
        </w:rPr>
        <w:t>智慧韧性转型，打造城市运行管理新样板。</w:t>
      </w:r>
      <w:r>
        <w:t>构建智能高效的城市基础设施体系</w:t>
      </w:r>
      <w:r>
        <w:rPr>
          <w:rFonts w:hint="eastAsia"/>
        </w:rPr>
        <w:t>，</w:t>
      </w:r>
      <w:r>
        <w:t>加快城市基础设施生命线工程建设，完善城市信息模型平台</w:t>
      </w:r>
      <w:r>
        <w:rPr>
          <w:rFonts w:hint="eastAsia"/>
        </w:rPr>
        <w:t>，</w:t>
      </w:r>
      <w:r>
        <w:t>搭建城市运行管理服务平台</w:t>
      </w:r>
      <w:r>
        <w:rPr>
          <w:rFonts w:hint="eastAsia"/>
        </w:rPr>
        <w:t>。</w:t>
      </w:r>
      <w:bookmarkStart w:id="5" w:name="_Toc205400026"/>
      <w:bookmarkStart w:id="6" w:name="_Toc9870"/>
    </w:p>
    <w:p w14:paraId="72124B7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716" w:leftChars="197" w:hanging="125" w:hangingChars="39"/>
        <w:jc w:val="left"/>
        <w:textAlignment w:val="auto"/>
        <w:rPr>
          <w:rFonts w:hint="eastAsia" w:ascii="黑体" w:hAnsi="黑体" w:cs="黑体"/>
          <w:sz w:val="32"/>
        </w:rPr>
      </w:pPr>
      <w:r>
        <w:rPr>
          <w:rFonts w:hint="default" w:ascii="黑体" w:hAnsi="黑体" w:eastAsia="黑体" w:cs="黑体"/>
          <w:b/>
          <w:kern w:val="44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cs="黑体"/>
          <w:sz w:val="32"/>
        </w:rPr>
        <w:t>十大重点任务</w:t>
      </w:r>
    </w:p>
    <w:p w14:paraId="42E5B7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ascii="楷体_GB2312" w:eastAsia="楷体_GB2312"/>
          <w:b w:val="0"/>
        </w:rPr>
      </w:pPr>
      <w:r>
        <w:rPr>
          <w:rFonts w:hint="eastAsia" w:ascii="楷体_GB2312" w:eastAsia="楷体_GB2312"/>
          <w:b w:val="0"/>
        </w:rPr>
        <w:t>（一）把握高质量发展首要任务，服务支撑长春现代化都市圈建设</w:t>
      </w:r>
    </w:p>
    <w:p w14:paraId="01B2D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0"/>
        <w:textAlignment w:val="auto"/>
      </w:pPr>
      <w:r>
        <w:rPr>
          <w:rFonts w:hint="eastAsia"/>
        </w:rPr>
        <w:t>锚定长春现代化都市圈建设，筑牢现代化都市圈供应链体系，打造开放核心枢纽，立足产业升级需求，推动区域产业合作、通道建设和公共服务平台搭建，依托“长春航空展”国家品牌优势，加强区域文化联动和输出，协同构建区域集约化、内涵式发展新格局。</w:t>
      </w:r>
    </w:p>
    <w:p w14:paraId="4539DA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ascii="楷体_GB2312" w:eastAsia="楷体_GB2312"/>
          <w:b w:val="0"/>
        </w:rPr>
      </w:pPr>
      <w:r>
        <w:rPr>
          <w:rFonts w:hint="eastAsia" w:ascii="楷体_GB2312" w:eastAsia="楷体_GB2312"/>
          <w:b w:val="0"/>
        </w:rPr>
        <w:t>（二）促进科技创新与产业创新深度融合，加快培育新质生产力</w:t>
      </w:r>
    </w:p>
    <w:bookmarkEnd w:id="5"/>
    <w:bookmarkEnd w:id="6"/>
    <w:p w14:paraId="57900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0"/>
        <w:textAlignment w:val="auto"/>
      </w:pPr>
      <w:r>
        <w:t>深入实施创新驱动发展战略，坚持</w:t>
      </w:r>
      <w:r>
        <w:rPr>
          <w:rFonts w:hint="eastAsia"/>
        </w:rPr>
        <w:t>“</w:t>
      </w:r>
      <w:r>
        <w:t>创新引领、产业融合、人才支撑</w:t>
      </w:r>
      <w:r>
        <w:rPr>
          <w:rFonts w:hint="eastAsia"/>
        </w:rPr>
        <w:t>”</w:t>
      </w:r>
      <w:r>
        <w:t>的指导方针，坚持新发展理念，因地制宜发展新质生产力，把增强自主创新能力作为全区科技发展的战略基点和调整产业结构、转变经济增长方式的中心环节，强化全产业链协同，大力</w:t>
      </w:r>
      <w:r>
        <w:rPr>
          <w:rFonts w:hint="eastAsia"/>
        </w:rPr>
        <w:t>推动</w:t>
      </w:r>
      <w:r>
        <w:t>产业向高端化、智能化、绿色化转型，为全区经济社会可持续发展提供强大的动力和支撑。</w:t>
      </w:r>
    </w:p>
    <w:p w14:paraId="4B797E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ascii="楷体_GB2312" w:eastAsia="楷体_GB2312"/>
          <w:b w:val="0"/>
        </w:rPr>
      </w:pPr>
      <w:r>
        <w:rPr>
          <w:rFonts w:hint="eastAsia" w:ascii="楷体_GB2312" w:eastAsia="楷体_GB2312"/>
          <w:b w:val="0"/>
        </w:rPr>
        <w:t>（三）筑牢发展空间基底，着力优化区域发展布局</w:t>
      </w:r>
    </w:p>
    <w:p w14:paraId="0EF69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0"/>
        <w:textAlignment w:val="auto"/>
      </w:pPr>
      <w:r>
        <w:rPr>
          <w:rFonts w:hint="eastAsia"/>
        </w:rPr>
        <w:t>以严守自然资源底线为基础，严格遵守国土空间用途管制、永久基本农田保护、城镇开发边界管控要求，强化土地节约集约利用与存量盘活，以经济环为纽带，以航空城和老城为引擎，以功能片区联动为基础，构建空间发展新格局。</w:t>
      </w:r>
    </w:p>
    <w:p w14:paraId="2491B6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ascii="楷体_GB2312" w:eastAsia="楷体_GB2312"/>
          <w:b w:val="0"/>
        </w:rPr>
      </w:pPr>
      <w:r>
        <w:rPr>
          <w:rFonts w:hint="eastAsia" w:ascii="楷体_GB2312" w:eastAsia="楷体_GB2312"/>
          <w:b w:val="0"/>
        </w:rPr>
        <w:t>（四）厚植文化发展沃土，开拓文旅融合发展新方向</w:t>
      </w:r>
    </w:p>
    <w:p w14:paraId="050AB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0"/>
        <w:textAlignment w:val="auto"/>
      </w:pPr>
      <w:r>
        <w:t>聚焦历史文脉守护、文旅深度融合、社会文明跃升</w:t>
      </w:r>
      <w:r>
        <w:rPr>
          <w:rFonts w:hint="eastAsia"/>
        </w:rPr>
        <w:t>三大方向</w:t>
      </w:r>
      <w:r>
        <w:t>，坚持以社会主义核心价值观引领文化建设，推动思想道德建设和社会诚信建设，加强社会主义精神文明建设，满足人民群众精神文化需求，推动文化与经济社会深度融合，为绿园区全面振兴提供强有力的精神文化支撑。</w:t>
      </w:r>
    </w:p>
    <w:p w14:paraId="08178C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</w:pPr>
      <w:r>
        <w:rPr>
          <w:rFonts w:hint="eastAsia" w:ascii="楷体_GB2312" w:eastAsia="楷体_GB2312"/>
          <w:b w:val="0"/>
        </w:rPr>
        <w:t>（五）全方位扩大内需，培育壮大高质量发展动能</w:t>
      </w:r>
    </w:p>
    <w:p w14:paraId="0A86B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0"/>
        <w:textAlignment w:val="auto"/>
      </w:pPr>
      <w:r>
        <w:t>通过打造多元消费场景、建设高效商贸物流体系、精准扩大有效投资</w:t>
      </w:r>
      <w:r>
        <w:rPr>
          <w:rFonts w:hint="eastAsia"/>
        </w:rPr>
        <w:t>等</w:t>
      </w:r>
      <w:r>
        <w:t>路径，全面激发区域经济活力</w:t>
      </w:r>
      <w:r>
        <w:rPr>
          <w:rFonts w:hint="eastAsia"/>
        </w:rPr>
        <w:t>，</w:t>
      </w:r>
      <w:r>
        <w:t>做强</w:t>
      </w:r>
      <w:r>
        <w:rPr>
          <w:rFonts w:hint="eastAsia"/>
        </w:rPr>
        <w:t>传统</w:t>
      </w:r>
      <w:r>
        <w:t>商业业态，做亮</w:t>
      </w:r>
      <w:r>
        <w:rPr>
          <w:rFonts w:hint="eastAsia"/>
        </w:rPr>
        <w:t>特色</w:t>
      </w:r>
      <w:r>
        <w:t>消费形态，以优化</w:t>
      </w:r>
      <w:r>
        <w:rPr>
          <w:rFonts w:hint="eastAsia"/>
        </w:rPr>
        <w:t>消费</w:t>
      </w:r>
      <w:r>
        <w:t>环境与节庆活动刺激消费。</w:t>
      </w:r>
    </w:p>
    <w:p w14:paraId="6D88C1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</w:pPr>
      <w:r>
        <w:rPr>
          <w:rFonts w:hint="eastAsia" w:ascii="楷体_GB2312" w:eastAsia="楷体_GB2312"/>
          <w:b w:val="0"/>
        </w:rPr>
        <w:t>（六）绘就乡村振兴画卷，打造农业农村现代化典范</w:t>
      </w:r>
    </w:p>
    <w:p w14:paraId="3278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0"/>
        <w:textAlignment w:val="auto"/>
      </w:pPr>
      <w:r>
        <w:t>以坚决保障粮食安全为根本，通过强化黑土地保护与科技应用夯实农业生产基础，以培育都市农业新业态为方向，发展特色品牌与休闲农业，以实施宜居宜业和美乡村建设为目标，通过优化村庄布局、完善基础设施、</w:t>
      </w:r>
      <w:r>
        <w:rPr>
          <w:rFonts w:hint="eastAsia"/>
          <w:lang w:val="en-US" w:eastAsia="zh-CN"/>
        </w:rPr>
        <w:t>改善</w:t>
      </w:r>
      <w:r>
        <w:t>人居环境与提升治理水平，全面推进乡村振兴，构建城乡融合、绿色高效的现代农业体系与和谐美丽的乡村生活空间。</w:t>
      </w:r>
    </w:p>
    <w:p w14:paraId="598966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</w:pPr>
      <w:r>
        <w:rPr>
          <w:rFonts w:hint="eastAsia" w:ascii="楷体_GB2312" w:eastAsia="楷体_GB2312"/>
          <w:b w:val="0"/>
        </w:rPr>
        <w:t>（七）筑牢生态文明底色，探索低碳循环发展新路径</w:t>
      </w:r>
    </w:p>
    <w:p w14:paraId="0731E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0"/>
        <w:textAlignment w:val="auto"/>
      </w:pPr>
      <w:r>
        <w:t>依托绿园区生态本底，统筹保护与发展，构建全域生态文明新格局。以生态保护修复为基础，以绿色低碳转型为路径，将绿园区建设成为生态安全、环境优美、产城融合、人文荟萃的现代化花园城区，全面实现高水平生态保护与经济社会高质量发展协同并进</w:t>
      </w:r>
      <w:r>
        <w:rPr>
          <w:rFonts w:hint="eastAsia"/>
        </w:rPr>
        <w:t>新局面</w:t>
      </w:r>
      <w:r>
        <w:t>。</w:t>
      </w:r>
    </w:p>
    <w:p w14:paraId="1F92ED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</w:pPr>
      <w:r>
        <w:rPr>
          <w:rFonts w:hint="eastAsia" w:ascii="楷体_GB2312" w:eastAsia="楷体_GB2312"/>
          <w:b w:val="0"/>
        </w:rPr>
        <w:t>（八）赓续增进民生福祉，创建宜居宜业幸福城区</w:t>
      </w:r>
    </w:p>
    <w:p w14:paraId="62BB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0"/>
        <w:textAlignment w:val="auto"/>
      </w:pPr>
      <w:r>
        <w:t>始终把人民对美好生活的向往作为奋斗目标，坚持人民城市人民建，人民城市为人民，提高公共服务质量和水平，</w:t>
      </w:r>
      <w:r>
        <w:rPr>
          <w:rFonts w:hint="eastAsia"/>
        </w:rPr>
        <w:t>通过加大社会保障力度、健全社会福利体系、健全就业增收机制、推进健康绿园建设、推动教育优质发展、推动城乡建设提质焕新等措施，</w:t>
      </w:r>
      <w:r>
        <w:t>建设美好生活新家园，打造幸福</w:t>
      </w:r>
      <w:r>
        <w:rPr>
          <w:rFonts w:hint="eastAsia"/>
          <w:lang w:eastAsia="zh-CN"/>
        </w:rPr>
        <w:t>绿园</w:t>
      </w:r>
      <w:r>
        <w:t>。</w:t>
      </w:r>
    </w:p>
    <w:p w14:paraId="601B56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ascii="楷体_GB2312" w:eastAsia="楷体_GB2312"/>
          <w:b w:val="0"/>
        </w:rPr>
      </w:pPr>
      <w:r>
        <w:rPr>
          <w:rFonts w:hint="eastAsia" w:ascii="楷体_GB2312" w:eastAsia="楷体_GB2312"/>
          <w:b w:val="0"/>
        </w:rPr>
        <w:t>（九）进一步全面深化改革，激发高质量发展蓬勃动力</w:t>
      </w:r>
    </w:p>
    <w:p w14:paraId="13C46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0"/>
        <w:textAlignment w:val="auto"/>
      </w:pPr>
      <w:r>
        <w:t>聚焦发展瓶颈与需求，系统推进重点领域改革，培育市场化、法治化、国际化营商环境，健全城乡融合发展体制机制，破除制约高质量发展的体制机制障碍，构建更具活力、更有效率的发展环境。</w:t>
      </w:r>
    </w:p>
    <w:p w14:paraId="708C5C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</w:pPr>
      <w:r>
        <w:rPr>
          <w:rFonts w:hint="eastAsia" w:ascii="楷体_GB2312" w:eastAsia="楷体_GB2312"/>
          <w:b w:val="0"/>
        </w:rPr>
        <w:t>（十）提升综合治理效能，更好统筹发展与安全</w:t>
      </w:r>
    </w:p>
    <w:p w14:paraId="53C4F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0"/>
        <w:textAlignment w:val="auto"/>
      </w:pPr>
      <w:r>
        <w:t>着力构建绿园区发展与安全协调并进的现代化治理体系</w:t>
      </w:r>
      <w:r>
        <w:rPr>
          <w:rFonts w:hint="eastAsia"/>
        </w:rPr>
        <w:t>，</w:t>
      </w:r>
      <w:r>
        <w:t>强化社会治安防控体系建设，防范化解重大风险，加强综合减灾能力建设，筑牢城市安全发展底线。</w:t>
      </w:r>
    </w:p>
    <w:p w14:paraId="4660B6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716" w:leftChars="197" w:hanging="125" w:hangingChars="39"/>
        <w:jc w:val="left"/>
        <w:textAlignment w:val="auto"/>
        <w:rPr>
          <w:rFonts w:hint="eastAsia" w:ascii="黑体" w:hAnsi="黑体" w:cs="黑体"/>
          <w:sz w:val="32"/>
        </w:rPr>
      </w:pPr>
      <w:bookmarkStart w:id="7" w:name="_Toc27211"/>
      <w:bookmarkStart w:id="8" w:name="_Toc2107778112"/>
      <w:r>
        <w:rPr>
          <w:rFonts w:hint="default" w:ascii="黑体" w:hAnsi="黑体" w:eastAsia="黑体" w:cs="黑体"/>
          <w:b/>
          <w:kern w:val="44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cs="黑体"/>
          <w:sz w:val="32"/>
        </w:rPr>
        <w:t>保障措施</w:t>
      </w:r>
    </w:p>
    <w:bookmarkEnd w:id="7"/>
    <w:bookmarkEnd w:id="8"/>
    <w:p w14:paraId="07404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2"/>
        <w:textAlignment w:val="auto"/>
        <w:rPr>
          <w:rFonts w:hint="eastAsia"/>
        </w:rPr>
      </w:pPr>
      <w:r>
        <w:rPr>
          <w:rFonts w:hint="eastAsia" w:ascii="Times New Roman" w:hAnsi="Times New Roman" w:cs="Times New Roman"/>
          <w:b/>
          <w:bCs/>
          <w:szCs w:val="30"/>
          <w:lang w:bidi="ar"/>
        </w:rPr>
        <w:t>坚持和加强党的全面领导</w:t>
      </w:r>
      <w:bookmarkStart w:id="9" w:name="_Toc1608591798"/>
      <w:r>
        <w:rPr>
          <w:rFonts w:hint="eastAsia" w:ascii="Times New Roman" w:hAnsi="Times New Roman" w:cs="Times New Roman"/>
          <w:b/>
          <w:bCs/>
          <w:szCs w:val="30"/>
          <w:lang w:bidi="ar"/>
        </w:rPr>
        <w:t>。</w:t>
      </w:r>
      <w:bookmarkEnd w:id="9"/>
      <w:r>
        <w:rPr>
          <w:rFonts w:hint="eastAsia"/>
        </w:rPr>
        <w:t>持续用党的创新理论统一思想、统一意志、统一行动。发展党内民主，健全和落实民主集中制，坚持科学决策、民主决策、依法决策。健全党的领导制度体系，完善党委研究经济社会发展战略、分析经济形势、研究重大政策的工作机制，把党的领导贯穿于规划实施各领域全过程。</w:t>
      </w:r>
    </w:p>
    <w:p w14:paraId="58B0A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2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强化民主政治建设。</w:t>
      </w:r>
      <w:r>
        <w:rPr>
          <w:rFonts w:hint="default"/>
          <w:lang w:val="en-US" w:eastAsia="zh-CN"/>
        </w:rPr>
        <w:t>支持人大依法履职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强化人大监督职能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发挥代表主体作用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优化代表履职平台建设，畅通民意表达渠道，推动代表议案建议高质量办理。坚持和完善政治协商制度，健全党外人士知情明政、议政建言、协商反馈等机制，完善大统战工作格局，夯实团结奋斗共同思想政治基础。</w:t>
      </w:r>
    </w:p>
    <w:p w14:paraId="46E47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2"/>
        <w:textAlignment w:val="auto"/>
      </w:pPr>
      <w:bookmarkStart w:id="10" w:name="_Toc1735333873"/>
      <w:r>
        <w:rPr>
          <w:rFonts w:hint="eastAsia" w:ascii="Times New Roman" w:hAnsi="Times New Roman" w:cs="Times New Roman"/>
          <w:b/>
          <w:bCs/>
          <w:szCs w:val="30"/>
          <w:lang w:bidi="ar"/>
        </w:rPr>
        <w:t>健全统一规划体系。</w:t>
      </w:r>
      <w:bookmarkEnd w:id="10"/>
      <w:r>
        <w:rPr>
          <w:rFonts w:hint="eastAsia"/>
        </w:rPr>
        <w:t>强化发展规划战略导向，</w:t>
      </w:r>
      <w:bookmarkStart w:id="11" w:name="_Toc739451964"/>
      <w:r>
        <w:rPr>
          <w:rFonts w:hint="eastAsia"/>
        </w:rPr>
        <w:t>建立健全定位准确、边界清晰、功能互补、统一衔接的规划体系。完善规划管理制度体系，加强规划编制全过程管理，完善规划咨询论证、审批发布、实施监测、评估修订等制度安排。推进规划体系创新融合，探索开展规划管理信息化建设，推动各类规划数据归集共享。</w:t>
      </w:r>
    </w:p>
    <w:bookmarkEnd w:id="11"/>
    <w:p w14:paraId="45E03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2"/>
        <w:textAlignment w:val="auto"/>
      </w:pPr>
      <w:bookmarkStart w:id="12" w:name="_Toc1086562539"/>
      <w:r>
        <w:rPr>
          <w:rFonts w:hint="eastAsia" w:ascii="Times New Roman" w:hAnsi="Times New Roman" w:cs="Times New Roman"/>
          <w:b/>
          <w:bCs/>
          <w:szCs w:val="30"/>
          <w:lang w:bidi="ar"/>
        </w:rPr>
        <w:t>完善规划实施机制。</w:t>
      </w:r>
      <w:bookmarkEnd w:id="12"/>
      <w:r>
        <w:rPr>
          <w:rFonts w:hint="eastAsia"/>
        </w:rPr>
        <w:t>健全任务分解落实机制，完善规划实施台账管理制度，实行清单化、项目化、工程化推进，确保各项任务落到实处。强化重大项目支撑作用，加强重大项目谋划储备和申报争取工作，建立健全重大项目协调推进机制，</w:t>
      </w:r>
      <w:r>
        <w:rPr>
          <w:rFonts w:hint="default"/>
          <w:lang w:val="en-US" w:eastAsia="zh-CN"/>
        </w:rPr>
        <w:t>依据规划有序推进绿园区重大项目的组织实施，</w:t>
      </w:r>
      <w:r>
        <w:rPr>
          <w:rFonts w:hint="eastAsia"/>
        </w:rPr>
        <w:t>推动项目早开工、早建成、早见效。</w:t>
      </w:r>
    </w:p>
    <w:p w14:paraId="0D04F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02"/>
        <w:textAlignment w:val="auto"/>
        <w:rPr>
          <w:rFonts w:hint="eastAsia"/>
        </w:rPr>
      </w:pPr>
      <w:bookmarkStart w:id="13" w:name="_Toc1837017665"/>
      <w:r>
        <w:rPr>
          <w:rFonts w:hint="eastAsia" w:ascii="Times New Roman" w:hAnsi="Times New Roman" w:cs="Times New Roman"/>
          <w:b/>
          <w:bCs/>
          <w:szCs w:val="30"/>
          <w:lang w:bidi="ar"/>
        </w:rPr>
        <w:t>深化政策要素保障。</w:t>
      </w:r>
      <w:r>
        <w:rPr>
          <w:rFonts w:hint="eastAsia"/>
        </w:rPr>
        <w:t>加强财政金融政策协同，</w:t>
      </w:r>
      <w:bookmarkEnd w:id="13"/>
      <w:r>
        <w:rPr>
          <w:rFonts w:hint="eastAsia"/>
        </w:rPr>
        <w:t>财政资金优先保障规划确定的重大战略、重大任务和重大工程项目。</w:t>
      </w:r>
      <w:r>
        <w:rPr>
          <w:rFonts w:hint="default"/>
          <w:lang w:val="en-US" w:eastAsia="zh-CN"/>
        </w:rPr>
        <w:t>加大土地支撑力度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提供土地要素保障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盘活土地存量支撑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为绿园区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打造城市西部增长极”提供可持续的增量支撑。强化人才智力支持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培用本地化创新人才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引进高层次创新人才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完善人才保障体系</w:t>
      </w:r>
      <w:r>
        <w:rPr>
          <w:rFonts w:hint="eastAsia"/>
        </w:rPr>
        <w:t>完善政策协同配套体系，加强各项政策与发展规划的衔接配合，加强政策宣传解读，及时回应社会关切，推动形成全社会支持规划实施的良好氛围。</w:t>
      </w:r>
    </w:p>
    <w:sectPr>
      <w:footerReference r:id="rId5" w:type="default"/>
      <w:pgSz w:w="11906" w:h="16838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9F035D-772B-41B3-ACF3-3FA21F3F20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0A2FF2-6CB0-4CB3-B727-3115777BF77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4DEEFE-5D77-4F41-963E-F4533DB03A5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42DE1D0-D4EC-4C4E-BBDC-B2A8A7BF9FCB}"/>
  </w:font>
  <w:font w:name="方正楷体_GB2312">
    <w:altName w:val="楷体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C738FB3-91CC-4FA2-8A52-EA03236E9ED9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F4801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5026A">
                          <w:pPr>
                            <w:pStyle w:val="9"/>
                            <w:ind w:firstLine="36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55026A">
                    <w:pPr>
                      <w:pStyle w:val="9"/>
                      <w:ind w:firstLine="36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6DFBFF"/>
    <w:rsid w:val="00115507"/>
    <w:rsid w:val="00125D3E"/>
    <w:rsid w:val="002275C1"/>
    <w:rsid w:val="002304A4"/>
    <w:rsid w:val="00245FD3"/>
    <w:rsid w:val="004A73F4"/>
    <w:rsid w:val="004E445F"/>
    <w:rsid w:val="0052539B"/>
    <w:rsid w:val="00603E73"/>
    <w:rsid w:val="007C2E93"/>
    <w:rsid w:val="009A601F"/>
    <w:rsid w:val="009D58C1"/>
    <w:rsid w:val="009F092E"/>
    <w:rsid w:val="00AB21B9"/>
    <w:rsid w:val="00B56735"/>
    <w:rsid w:val="00C35560"/>
    <w:rsid w:val="00C47C63"/>
    <w:rsid w:val="00CE32CF"/>
    <w:rsid w:val="00D53BD8"/>
    <w:rsid w:val="00E22658"/>
    <w:rsid w:val="00ED4802"/>
    <w:rsid w:val="00F02FCF"/>
    <w:rsid w:val="00F76BDD"/>
    <w:rsid w:val="0F77E971"/>
    <w:rsid w:val="0FA789DD"/>
    <w:rsid w:val="177362F6"/>
    <w:rsid w:val="1B6D1746"/>
    <w:rsid w:val="1BFFC65D"/>
    <w:rsid w:val="25CB3C39"/>
    <w:rsid w:val="26591245"/>
    <w:rsid w:val="266F0A68"/>
    <w:rsid w:val="2C646B95"/>
    <w:rsid w:val="2DF794DC"/>
    <w:rsid w:val="316A69FC"/>
    <w:rsid w:val="3330157F"/>
    <w:rsid w:val="364A6DFC"/>
    <w:rsid w:val="37FF6A74"/>
    <w:rsid w:val="3BDD8A1C"/>
    <w:rsid w:val="3DFEA99F"/>
    <w:rsid w:val="3E7F2FA6"/>
    <w:rsid w:val="3F57A179"/>
    <w:rsid w:val="3F956B1C"/>
    <w:rsid w:val="3FAC4683"/>
    <w:rsid w:val="3FAFC64A"/>
    <w:rsid w:val="3FEF207E"/>
    <w:rsid w:val="3FFB0F34"/>
    <w:rsid w:val="4EFF7056"/>
    <w:rsid w:val="51595CED"/>
    <w:rsid w:val="56AC134E"/>
    <w:rsid w:val="5DEBAE44"/>
    <w:rsid w:val="5E6E2DD8"/>
    <w:rsid w:val="5F4965EE"/>
    <w:rsid w:val="5F5F24DC"/>
    <w:rsid w:val="5FBF3711"/>
    <w:rsid w:val="65D125E2"/>
    <w:rsid w:val="66C12BE3"/>
    <w:rsid w:val="66FF400A"/>
    <w:rsid w:val="6DDF0921"/>
    <w:rsid w:val="6EFFA495"/>
    <w:rsid w:val="711A0B9D"/>
    <w:rsid w:val="73BA3004"/>
    <w:rsid w:val="74C50E20"/>
    <w:rsid w:val="751F8FF4"/>
    <w:rsid w:val="75A50453"/>
    <w:rsid w:val="75C15A8B"/>
    <w:rsid w:val="7777C138"/>
    <w:rsid w:val="777DE8EE"/>
    <w:rsid w:val="777FB33C"/>
    <w:rsid w:val="77BD3117"/>
    <w:rsid w:val="796DFBFF"/>
    <w:rsid w:val="796FAF0B"/>
    <w:rsid w:val="797AFF0B"/>
    <w:rsid w:val="7B769001"/>
    <w:rsid w:val="7BDF49BA"/>
    <w:rsid w:val="7BDFE584"/>
    <w:rsid w:val="7C381909"/>
    <w:rsid w:val="7C9FDC8F"/>
    <w:rsid w:val="7D3B964C"/>
    <w:rsid w:val="7DFF56A5"/>
    <w:rsid w:val="7EEF9E33"/>
    <w:rsid w:val="7EF944E8"/>
    <w:rsid w:val="7F5AF465"/>
    <w:rsid w:val="7F764043"/>
    <w:rsid w:val="9F7F955F"/>
    <w:rsid w:val="B7DF2CDA"/>
    <w:rsid w:val="BDFFD874"/>
    <w:rsid w:val="BFFF85C2"/>
    <w:rsid w:val="C75EBB9F"/>
    <w:rsid w:val="CFFFCBBB"/>
    <w:rsid w:val="D9DBCACA"/>
    <w:rsid w:val="DBB81C2D"/>
    <w:rsid w:val="DDF91BB0"/>
    <w:rsid w:val="DDFF5842"/>
    <w:rsid w:val="DF7FEFCA"/>
    <w:rsid w:val="DFB68327"/>
    <w:rsid w:val="DFCB13A1"/>
    <w:rsid w:val="E25DB152"/>
    <w:rsid w:val="EBD3B65E"/>
    <w:rsid w:val="EBDDA6C3"/>
    <w:rsid w:val="EBFF9B19"/>
    <w:rsid w:val="ECDDB2D1"/>
    <w:rsid w:val="EDFD1578"/>
    <w:rsid w:val="EEDF9A0F"/>
    <w:rsid w:val="F27F8EBC"/>
    <w:rsid w:val="F6CB1CC1"/>
    <w:rsid w:val="F6D5E1D5"/>
    <w:rsid w:val="F959480B"/>
    <w:rsid w:val="F9EFE90A"/>
    <w:rsid w:val="FA5B0EF8"/>
    <w:rsid w:val="FD5F2C80"/>
    <w:rsid w:val="FD7CA780"/>
    <w:rsid w:val="FDFF38B5"/>
    <w:rsid w:val="FE5281F7"/>
    <w:rsid w:val="FFD3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ind w:firstLine="1040" w:firstLineChars="20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spacing w:before="340" w:after="330"/>
      <w:ind w:firstLine="0" w:firstLineChars="0"/>
      <w:jc w:val="center"/>
      <w:outlineLvl w:val="0"/>
    </w:pPr>
    <w:rPr>
      <w:rFonts w:ascii="Times New Roman" w:hAnsi="Times New Roman" w:eastAsia="黑体" w:cs="Times New Roman"/>
      <w:b/>
      <w:kern w:val="44"/>
      <w:sz w:val="44"/>
      <w:szCs w:val="32"/>
    </w:rPr>
  </w:style>
  <w:style w:type="paragraph" w:styleId="3">
    <w:name w:val="heading 2"/>
    <w:basedOn w:val="1"/>
    <w:next w:val="1"/>
    <w:link w:val="22"/>
    <w:unhideWhenUsed/>
    <w:qFormat/>
    <w:uiPriority w:val="0"/>
    <w:pPr>
      <w:spacing w:before="140" w:after="140"/>
      <w:ind w:firstLine="0" w:firstLineChars="0"/>
      <w:jc w:val="center"/>
      <w:outlineLvl w:val="1"/>
    </w:pPr>
    <w:rPr>
      <w:rFonts w:ascii="Arial" w:hAnsi="Arial" w:eastAsia="黑体" w:cs="Times New Roman"/>
      <w:b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2" w:lineRule="auto"/>
      <w:ind w:firstLine="0" w:firstLineChars="0"/>
      <w:jc w:val="center"/>
      <w:outlineLvl w:val="2"/>
    </w:pPr>
    <w:rPr>
      <w:rFonts w:ascii="Calibri" w:hAnsi="Calibri" w:eastAsia="楷体_GB2312" w:cs="Times New Roman"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420"/>
    </w:pPr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paragraph" w:styleId="7">
    <w:name w:val="Body Text Indent"/>
    <w:next w:val="5"/>
    <w:qFormat/>
    <w:uiPriority w:val="0"/>
    <w:pPr>
      <w:widowControl w:val="0"/>
      <w:spacing w:line="300" w:lineRule="auto"/>
      <w:ind w:left="420" w:leftChars="200" w:firstLine="104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8">
    <w:name w:val="Body Text Indent 2"/>
    <w:basedOn w:val="1"/>
    <w:next w:val="1"/>
    <w:link w:val="20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  <w:sz w:val="32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qFormat/>
    <w:uiPriority w:val="0"/>
    <w:rPr>
      <w:b/>
    </w:rPr>
  </w:style>
  <w:style w:type="character" w:customStyle="1" w:styleId="17">
    <w:name w:val="标题 3 字符"/>
    <w:basedOn w:val="15"/>
    <w:link w:val="4"/>
    <w:qFormat/>
    <w:uiPriority w:val="0"/>
    <w:rPr>
      <w:rFonts w:hint="default" w:ascii="Calibri" w:hAnsi="Calibri" w:eastAsia="楷体_GB2312" w:cs="Times New Roman"/>
      <w:kern w:val="2"/>
      <w:sz w:val="32"/>
      <w:szCs w:val="32"/>
    </w:rPr>
  </w:style>
  <w:style w:type="character" w:customStyle="1" w:styleId="18">
    <w:name w:val="0616篇标题 Char"/>
    <w:link w:val="19"/>
    <w:qFormat/>
    <w:uiPriority w:val="0"/>
    <w:rPr>
      <w:rFonts w:hint="eastAsia" w:ascii="方正公文小标宋" w:hAnsi="方正公文小标宋" w:eastAsia="方正公文小标宋" w:cs="Times New Roman"/>
      <w:color w:val="000000"/>
      <w:kern w:val="0"/>
      <w:sz w:val="24"/>
      <w:szCs w:val="32"/>
      <w:lang w:val="en-US" w:eastAsia="zh-CN" w:bidi="ar-SA"/>
    </w:rPr>
  </w:style>
  <w:style w:type="paragraph" w:customStyle="1" w:styleId="19">
    <w:name w:val="0616篇标题"/>
    <w:link w:val="18"/>
    <w:qFormat/>
    <w:uiPriority w:val="0"/>
    <w:pPr>
      <w:spacing w:line="300" w:lineRule="auto"/>
      <w:ind w:firstLine="1040" w:firstLineChars="200"/>
      <w:outlineLvl w:val="0"/>
    </w:pPr>
    <w:rPr>
      <w:rFonts w:hint="eastAsia" w:ascii="方正公文小标宋" w:hAnsi="方正公文小标宋" w:eastAsia="方正公文小标宋" w:cs="Times New Roman"/>
      <w:color w:val="000000"/>
      <w:sz w:val="24"/>
      <w:szCs w:val="32"/>
      <w:lang w:val="en-US" w:eastAsia="zh-CN" w:bidi="ar-SA"/>
    </w:rPr>
  </w:style>
  <w:style w:type="character" w:customStyle="1" w:styleId="20">
    <w:name w:val="正文文本缩进 2 字符"/>
    <w:basedOn w:val="15"/>
    <w:link w:val="8"/>
    <w:qFormat/>
    <w:uiPriority w:val="0"/>
    <w:rPr>
      <w:rFonts w:hint="eastAsia" w:ascii="仿宋_GB2312" w:eastAsia="仿宋_GB2312" w:cs="Times New Roman"/>
      <w:kern w:val="2"/>
      <w:sz w:val="32"/>
      <w:szCs w:val="32"/>
    </w:rPr>
  </w:style>
  <w:style w:type="character" w:customStyle="1" w:styleId="21">
    <w:name w:val="标题 1 字符"/>
    <w:basedOn w:val="15"/>
    <w:link w:val="2"/>
    <w:qFormat/>
    <w:uiPriority w:val="0"/>
    <w:rPr>
      <w:rFonts w:hint="eastAsia" w:ascii="Times New Roman" w:hAnsi="Times New Roman" w:eastAsia="黑体" w:cs="Times New Roman"/>
      <w:b/>
      <w:kern w:val="44"/>
      <w:sz w:val="44"/>
      <w:szCs w:val="32"/>
    </w:rPr>
  </w:style>
  <w:style w:type="character" w:customStyle="1" w:styleId="22">
    <w:name w:val="标题 2 字符"/>
    <w:basedOn w:val="15"/>
    <w:link w:val="3"/>
    <w:qFormat/>
    <w:uiPriority w:val="0"/>
    <w:rPr>
      <w:rFonts w:hint="default" w:ascii="Arial" w:hAnsi="Arial" w:eastAsia="黑体" w:cs="Times New Roman"/>
      <w:b/>
      <w:kern w:val="2"/>
      <w:sz w:val="32"/>
      <w:szCs w:val="32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0616节标题"/>
    <w:qFormat/>
    <w:uiPriority w:val="0"/>
    <w:pPr>
      <w:spacing w:line="300" w:lineRule="auto"/>
      <w:ind w:firstLine="240" w:firstLineChars="100"/>
    </w:pPr>
    <w:rPr>
      <w:rFonts w:hint="eastAsia" w:ascii="方正楷体_GB2312" w:hAnsi="方正楷体_GB2312" w:eastAsia="方正楷体_GB2312" w:cs="Times New Roman"/>
      <w:color w:val="C00000"/>
      <w:sz w:val="22"/>
      <w:szCs w:val="22"/>
      <w:lang w:val="en-US" w:eastAsia="zh-CN" w:bidi="ar-SA"/>
    </w:rPr>
  </w:style>
  <w:style w:type="paragraph" w:customStyle="1" w:styleId="25">
    <w:name w:val="BodyText"/>
    <w:qFormat/>
    <w:uiPriority w:val="0"/>
    <w:pPr>
      <w:widowControl w:val="0"/>
      <w:spacing w:line="300" w:lineRule="auto"/>
      <w:ind w:left="101" w:firstLine="1040" w:firstLineChars="200"/>
      <w:jc w:val="both"/>
      <w:textAlignment w:val="baseline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customStyle="1" w:styleId="26">
    <w:name w:val="正文1"/>
    <w:qFormat/>
    <w:uiPriority w:val="0"/>
    <w:pPr>
      <w:widowControl w:val="0"/>
      <w:spacing w:line="300" w:lineRule="auto"/>
      <w:ind w:firstLine="640" w:firstLineChars="200"/>
      <w:jc w:val="both"/>
    </w:pPr>
    <w:rPr>
      <w:rFonts w:hint="eastAsia" w:ascii="仿宋_GB2312" w:hAnsi="仿宋_GB2312" w:eastAsia="仿宋_GB2312" w:cs="仿宋_GB2312"/>
      <w:kern w:val="2"/>
      <w:sz w:val="32"/>
      <w:szCs w:val="4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4189</Words>
  <Characters>4195</Characters>
  <Lines>97</Lines>
  <Paragraphs>58</Paragraphs>
  <TotalTime>4</TotalTime>
  <ScaleCrop>false</ScaleCrop>
  <LinksUpToDate>false</LinksUpToDate>
  <CharactersWithSpaces>4195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2025-10-29T16:38:00Z</dcterms:created>
  <dc:creator>Iron Man</dc:creator>
  <cp:lastModifiedBy>顺李成张</cp:lastModifiedBy>
  <dcterms:modified xsi:type="dcterms:W3CDTF">2025-10-31T05:31:01Z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3A5A5E4D7A76732A212AFF688DF38F46_43</vt:lpwstr>
  </property>
  <property fmtid="{D5CDD505-2E9C-101B-9397-08002B2CF9AE}" pid="4" name="KSOTemplateDocerSaveRecord">
    <vt:lpwstr>eyJoZGlkIjoiNDA5NGQxZmJiYWJiYjBmYzQ2ZmU0MDNlZTM5YTYxNDkiLCJ1c2VySWQiOiIyMTIwMjkwNzIifQ==</vt:lpwstr>
  </property>
</Properties>
</file>